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99" w:rsidRPr="00011699" w:rsidRDefault="00011699" w:rsidP="00011699">
      <w:pPr>
        <w:pStyle w:val="a3"/>
        <w:shd w:val="clear" w:color="auto" w:fill="FFFFFF"/>
        <w:jc w:val="both"/>
        <w:rPr>
          <w:b/>
        </w:rPr>
      </w:pPr>
      <w:r w:rsidRPr="00011699">
        <w:rPr>
          <w:b/>
        </w:rPr>
        <w:t>Федеральный закон от 28.03.1998 N 53- ФЗ "О воинской обязанности и военной службе"</w:t>
      </w:r>
    </w:p>
    <w:p w:rsidR="00011699" w:rsidRPr="00011699" w:rsidRDefault="00011699" w:rsidP="00011699">
      <w:pPr>
        <w:pStyle w:val="a3"/>
        <w:shd w:val="clear" w:color="auto" w:fill="FFFFFF"/>
        <w:jc w:val="both"/>
        <w:rPr>
          <w:b/>
        </w:rPr>
      </w:pPr>
      <w:r w:rsidRPr="00011699">
        <w:rPr>
          <w:b/>
          <w:highlight w:val="yellow"/>
        </w:rPr>
        <w:t>Статья 8</w:t>
      </w:r>
      <w:r w:rsidRPr="00011699">
        <w:rPr>
          <w:b/>
        </w:rPr>
        <w:t xml:space="preserve"> 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1. Граждане обязаны состоять на воинском учете, за исключением граждан: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proofErr w:type="gramStart"/>
      <w:r w:rsidRPr="00011699">
        <w:t>освобожденных</w:t>
      </w:r>
      <w:proofErr w:type="gramEnd"/>
      <w:r w:rsidRPr="00011699">
        <w:t xml:space="preserve"> от исполнения воинской обязанности в соответствии с настоящим Федеральным законом;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proofErr w:type="gramStart"/>
      <w:r w:rsidRPr="00011699">
        <w:t>проходящих</w:t>
      </w:r>
      <w:proofErr w:type="gramEnd"/>
      <w:r w:rsidRPr="00011699">
        <w:t xml:space="preserve"> военную службу;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proofErr w:type="gramStart"/>
      <w:r w:rsidRPr="00011699">
        <w:t>отбывающих</w:t>
      </w:r>
      <w:proofErr w:type="gramEnd"/>
      <w:r w:rsidRPr="00011699">
        <w:t xml:space="preserve"> наказание в виде лишения свободы;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 xml:space="preserve">женского пола, не </w:t>
      </w:r>
      <w:proofErr w:type="gramStart"/>
      <w:r w:rsidRPr="00011699">
        <w:t>имеющих</w:t>
      </w:r>
      <w:proofErr w:type="gramEnd"/>
      <w:r w:rsidRPr="00011699">
        <w:t xml:space="preserve"> военно-учетной специальности;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 xml:space="preserve">постоянно </w:t>
      </w:r>
      <w:proofErr w:type="gramStart"/>
      <w:r w:rsidRPr="00011699">
        <w:t>проживающих</w:t>
      </w:r>
      <w:proofErr w:type="gramEnd"/>
      <w:r w:rsidRPr="00011699">
        <w:t xml:space="preserve"> за пределами Российской Федерации.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1.1. Порядок и особенности воинского учета граждан, проходящих службу в органах внутренних дел, войсках национальной гвардии Российской Федерации, Государственной противопожарной службе, учреждениях и органах уголовно-исполнительной системы на должностях рядового и начальствующего состава, определяются Положением о воинском учете, утверждаемым Правительством Российской Федерации.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2. Воинский учет граждан, за исключением граждан, указанных в пункте 3 настоящей статьи, осуществляется военными комиссариатами по месту их жительства, а граждан, прибывших на место пребывания на срок более трех месяцев или проходящих альтернативную гражданскую службу, - по месту их пребывания.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proofErr w:type="gramStart"/>
      <w:r w:rsidRPr="00011699">
        <w:t>Воинский учет граждан, не имеющих регистрации по месту жительства и месту пребывания, а также граждан, прибывших на место пребывания на срок более трех месяцев и не имеющих регистрации по месту пребывания, осуществляется военными комиссариатами по месту, указываемому гражданами в заявлении в качестве места их пребывания (учебы), по форме и в порядке, которые устанавливаются Положением о воинском учете.</w:t>
      </w:r>
      <w:proofErr w:type="gramEnd"/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Военные комиссариаты осуществляют воинский учет граждан через свои структурные подразделения по муниципальным образованиям (далее - структурные подразделения).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Полномочия Российской Федерации на осуществление воинского учета на территориях, на которых отсутствуют структурные подразделения военных комиссариатов, передаются соответствующим органам местного самоуправления поселений и органам местного самоуправления городских округов. Совокупность таких полномочий именуется первичным воинским учетом.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Органы местного самоуправления поселений и органы местного самоуправления городских округов осуществляют первичный воинский учет граждан, проживающих или пребывающих на территориях указанных муниципальных образований.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lastRenderedPageBreak/>
        <w:t>Абзац утратил силу. - Федеральный закон от 03.12.2008 N 248-ФЗ.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При осуществлении первичного воинского учета органы местного самоуправления поселений и органы местного самоуправления городских округов вправе: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запрашивать у организаций и граждан информацию, необходимую для занесения в документы воинского учета;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вызывать граждан по вопросам воинского учета и оповещать граждан о вызовах (повестках) военных комиссариатов;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определять порядок оповещения граждан о вызовах (повестках) военных комиссариатов;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определять порядок приема граждан по вопросам воинского учета;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запрашивать у военных комиссариатов разъяснения по вопросам первичного воинского учета;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вносить в военные комиссариаты предложения о совершенствовании организации первичного воинского учета.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При осуществлении первичного воинского учета органы местного самоуправления поселений и органы местного самоуправления городских округов обязаны: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 xml:space="preserve">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</w:t>
      </w:r>
      <w:proofErr w:type="gramStart"/>
      <w:r w:rsidRPr="00011699">
        <w:t>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  <w:proofErr w:type="gramEnd"/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 xml:space="preserve">направлять </w:t>
      </w:r>
      <w:proofErr w:type="gramStart"/>
      <w:r w:rsidRPr="00011699"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 w:rsidRPr="00011699"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proofErr w:type="gramStart"/>
      <w:r w:rsidRPr="00011699">
        <w:t>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Pr="00011699">
        <w:t xml:space="preserve"> в Российскую Федерацию;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proofErr w:type="gramStart"/>
      <w:r w:rsidRPr="00011699">
        <w:t xml:space="preserve"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</w:t>
      </w:r>
      <w:r w:rsidRPr="00011699">
        <w:lastRenderedPageBreak/>
        <w:t>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  <w:proofErr w:type="gramEnd"/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организовывать и обеспечивать своевременное оповещение граждан о вызовах (повестках) военных комиссариатов;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вести прием граждан по вопросам воинского учета.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 xml:space="preserve">Координация деятельности по осуществлению первичного воинского учета и </w:t>
      </w:r>
      <w:proofErr w:type="gramStart"/>
      <w:r w:rsidRPr="00011699">
        <w:t>контроль за</w:t>
      </w:r>
      <w:proofErr w:type="gramEnd"/>
      <w:r w:rsidRPr="00011699">
        <w:t xml:space="preserve"> осуществлением переданных полномочий осуществляются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в порядке, определяемом Положением о воинском учете.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порядке, установленном статьями 133 и 140 Бюджетного кодекса Российской Федерации.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 xml:space="preserve">Объем средств, передаваемых органам местного самоуправления поселений и органам местного самоуправления городских округов, определяется исходя из численности граждан, состоящих на первичном воинском учете по состоянию на 31 декабря предшествующего года, и утвержденной Правительством Российской </w:t>
      </w:r>
      <w:proofErr w:type="gramStart"/>
      <w:r w:rsidRPr="00011699">
        <w:t>Федерации методики расчета норматива затрат</w:t>
      </w:r>
      <w:proofErr w:type="gramEnd"/>
      <w:r w:rsidRPr="00011699">
        <w:t>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Порядок расходования и учета субвенций, а также изъятия переданных полномочий устанавливается Правительством Российской Федерации.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отчет о расходовании предоставленных субвенций с указанием численности военно-учетных работников, осуществляющих первичный воинский учет (освобожденных военно-учетных работников и работников по совместительству).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proofErr w:type="gramStart"/>
      <w:r w:rsidRPr="00011699">
        <w:t xml:space="preserve">Органы государственной власти субъекта Российской Федерации не позднее 15-го числа месяца, следующего за отчетным кварталом, представляют в федеральный орган исполнительной власти, осуществляющий функции по выработке и реализации государственной политики, нормативно-правовому регулированию в области обороны, </w:t>
      </w:r>
      <w:r w:rsidRPr="00011699">
        <w:lastRenderedPageBreak/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 деятельности, единой государственной финансовой, кредитной, денежной политики, отчет о расходовании</w:t>
      </w:r>
      <w:proofErr w:type="gramEnd"/>
      <w:r w:rsidRPr="00011699">
        <w:t xml:space="preserve"> предоставленных субвенций с указанием численности военно-учетных работников, осуществляющих первичный воинский учет (освобожденных военно-учетных работников и работников по совместительству).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Средства на реализацию полномочий на осуществление первичного воинского учета носят целевой характер и не могут быть использованы на другие цели.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proofErr w:type="gramStart"/>
      <w:r w:rsidRPr="00011699">
        <w:t>Контроль за</w:t>
      </w:r>
      <w:proofErr w:type="gramEnd"/>
      <w:r w:rsidRPr="00011699">
        <w:t xml:space="preserve"> расходованием субвенций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обороны, Счетной палатой Российской Федерации, а также специально уполномоченными органами субъектов Российской Федерации.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комиссариата.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1-го числа месяца, следующего за месяцем создания структурного подразделения военного комиссариата.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3. Воинский учет граждан,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Федерации, осуществляется указанными органами в том же порядке, который определен настоящим Федеральным законом.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4. Документы воинского учета должны содержать следующие сведения о гражданине: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фамилия, имя и отчество;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дата рождения;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место жительства и (или) место пребывания, в том числе не подтвержденные регистрацией по месту жительства и (или) месту пребывания;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семейное положение;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образование;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место работы (учебы);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годность к военной службе по состоянию здоровья;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профессиональная пригодность к подготовке по военно-учетным специальностям и к военной службе на воинских должностях;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основные антропометрические данные;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lastRenderedPageBreak/>
        <w:t>прохождение военной службы или альтернативной гражданской службы;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прохождение военных сборов;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владение иностранными языками;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наличие военно-учетных и гражданских специальностей;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наличие спортивного разряда кандидата в мастера спорта, первого спортивного разряда или спортивного звания;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возбуждение или прекращение в отношении гражданина уголовного дела;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наличие судимости;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признание гражданина не прошедшим военную службу по призыву, не имея на то законных оснований, в соответствии с заключением призывной комиссии;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бронирование гражданина, пребывающего в запасе, за органом государственной власти, органом местного самоуправления или организацией на период мобилизации и в военное время;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пребывание в мобилизационном людском резерве;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proofErr w:type="gramStart"/>
      <w:r w:rsidRPr="00011699">
        <w:t>наличие освобождения или отсрочки от призыва на военную службу с указанием соответствующего положения настоящего Федерального закона, на основании которого они предоставлены, а также даты заседания призывной комиссии, на котором было принято решение об освобождении от призыва на военную службу или о предоставлении отсрочки от призыва на военную службу, и номера протокола этого заседания;</w:t>
      </w:r>
      <w:proofErr w:type="gramEnd"/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иные (в том числе биометрические) персональные данные, определенные Положением о воинском учете.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5. Сбор, хранение, использование и распространение сведений, содержащихся в документах воинского учета, осуществляются в соответствии с Федеральным законом от 27 июля 2006 года N 152-ФЗ "О персональных данных".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5.1. Гражданам, состоящим на воинском учете, выдается один из документов воинского учета: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удостоверение гражданина, подлежащего призыву на военную службу;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военный билет (временное удостоверение, выданное взамен военного билета);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справка взамен военного билета.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Органы, осуществляющие воинский учет, вправе с согласия граждан выдавать им помимо документов, указанных в абзацах втором - четвертом настоящего пункта, также персональные электронные карты.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>6. Порядок воинского учета граждан, в том числе первичного воинского учета, определяется настоящим Федеральным законом и Положением о воинском учете.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lastRenderedPageBreak/>
        <w:t>7. Органы государственной власти,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Положением о воинском учете.</w:t>
      </w:r>
    </w:p>
    <w:p w:rsidR="00011699" w:rsidRPr="00011699" w:rsidRDefault="00011699" w:rsidP="00011699">
      <w:pPr>
        <w:pStyle w:val="a3"/>
        <w:shd w:val="clear" w:color="auto" w:fill="FFFFFF"/>
        <w:jc w:val="both"/>
      </w:pPr>
      <w:r w:rsidRPr="00011699">
        <w:t xml:space="preserve">8. </w:t>
      </w:r>
      <w:proofErr w:type="gramStart"/>
      <w:r w:rsidRPr="00011699">
        <w:t>Граждане, постоянно проживающие за пределами Российской Федерации и изъявившие желание проходить военную службу по призыву на воинских должностях, замещаемых солдатами, матросами, сержантами и старшинами в Вооруженных Силах Российской Федерации, других войсках, воинских формированиях и органах, могут быть поставлены на воинский учет в порядке, определяемом Положением о воинском учете, при условии заключения и ратификации Российской Федерацией соответствующих международных договоров.</w:t>
      </w:r>
      <w:proofErr w:type="gramEnd"/>
    </w:p>
    <w:p w:rsidR="00D73BD7" w:rsidRPr="00011699" w:rsidRDefault="00D73BD7">
      <w:pPr>
        <w:rPr>
          <w:rFonts w:ascii="Times New Roman" w:hAnsi="Times New Roman" w:cs="Times New Roman"/>
          <w:sz w:val="24"/>
          <w:szCs w:val="24"/>
        </w:rPr>
      </w:pPr>
    </w:p>
    <w:sectPr w:rsidR="00D73BD7" w:rsidRPr="00011699" w:rsidSect="00D7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699"/>
    <w:rsid w:val="00011699"/>
    <w:rsid w:val="00D7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1950</Words>
  <Characters>11115</Characters>
  <Application>Microsoft Office Word</Application>
  <DocSecurity>0</DocSecurity>
  <Lines>92</Lines>
  <Paragraphs>26</Paragraphs>
  <ScaleCrop>false</ScaleCrop>
  <Company/>
  <LinksUpToDate>false</LinksUpToDate>
  <CharactersWithSpaces>13039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2022-02-09T11:58:00Z</dcterms:created>
  <dcterms:modified xsi:type="dcterms:W3CDTF">2022-02-09T11:59:00Z</dcterms:modified>
</cp:coreProperties>
</file>