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Письмо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Федеральной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службы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от</w:t>
      </w:r>
      <w:r w:rsidRPr="008D701F">
        <w:rPr>
          <w:rFonts w:ascii="Adobe Garamond Pro" w:hAnsi="Adobe Garamond Pro"/>
        </w:rPr>
        <w:t xml:space="preserve"> 23 </w:t>
      </w:r>
      <w:r w:rsidRPr="008D701F">
        <w:rPr>
          <w:rFonts w:ascii="Cambria" w:hAnsi="Cambria" w:cs="Cambria"/>
        </w:rPr>
        <w:t>декабря</w:t>
      </w:r>
      <w:r w:rsidRPr="008D701F">
        <w:rPr>
          <w:rFonts w:ascii="Adobe Garamond Pro" w:hAnsi="Adobe Garamond Pro"/>
        </w:rPr>
        <w:t xml:space="preserve"> 2020 </w:t>
      </w:r>
      <w:r w:rsidRPr="008D701F">
        <w:rPr>
          <w:rFonts w:ascii="Cambria" w:hAnsi="Cambria" w:cs="Cambria"/>
        </w:rPr>
        <w:t>г</w:t>
      </w:r>
      <w:r w:rsidRPr="008D701F">
        <w:rPr>
          <w:rFonts w:ascii="Adobe Garamond Pro" w:hAnsi="Adobe Garamond Pro"/>
        </w:rPr>
        <w:t xml:space="preserve">. </w:t>
      </w:r>
      <w:r w:rsidRPr="008D701F">
        <w:rPr>
          <w:rFonts w:ascii="Times New Roman" w:hAnsi="Times New Roman" w:cs="Times New Roman"/>
        </w:rPr>
        <w:t>№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БС</w:t>
      </w:r>
      <w:r w:rsidRPr="008D701F">
        <w:rPr>
          <w:rFonts w:ascii="Adobe Garamond Pro" w:hAnsi="Adobe Garamond Pro"/>
        </w:rPr>
        <w:t xml:space="preserve">-4-11/21212@ </w:t>
      </w:r>
      <w:r w:rsidRPr="008D701F">
        <w:rPr>
          <w:rFonts w:ascii="Adobe Garamond Pro" w:hAnsi="Adobe Garamond Pro" w:cs="Adobe Garamond Pro"/>
        </w:rPr>
        <w:t>“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рассмотрении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обращения</w:t>
      </w:r>
      <w:r w:rsidRPr="008D701F">
        <w:rPr>
          <w:rFonts w:ascii="Adobe Garamond Pro" w:hAnsi="Adobe Garamond Pro" w:cs="Adobe Garamond Pro"/>
        </w:rPr>
        <w:t>”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Adobe Garamond Pro" w:hAnsi="Adobe Garamond Pro"/>
        </w:rPr>
        <w:t xml:space="preserve">1 </w:t>
      </w:r>
      <w:r w:rsidRPr="008D701F">
        <w:rPr>
          <w:rFonts w:ascii="Cambria" w:hAnsi="Cambria" w:cs="Cambria"/>
        </w:rPr>
        <w:t>февраля</w:t>
      </w:r>
      <w:r w:rsidRPr="008D701F">
        <w:rPr>
          <w:rFonts w:ascii="Adobe Garamond Pro" w:hAnsi="Adobe Garamond Pro"/>
        </w:rPr>
        <w:t xml:space="preserve"> 2021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Федеральная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налоговая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служба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рассмотрела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повторное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интернет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обращение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порядке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исчисления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агентом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доходы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физических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далее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НДФЛ</w:t>
      </w:r>
      <w:r w:rsidRPr="008D701F">
        <w:rPr>
          <w:rFonts w:ascii="Adobe Garamond Pro" w:hAnsi="Adobe Garamond Pro"/>
        </w:rPr>
        <w:t xml:space="preserve">)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отношении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налогоплательщиков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иностранных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граждан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получения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Уведомления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подтверждении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права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осуществление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уменьшения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исчисленной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уплаченных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налогоплательщиком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иностранным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гражданином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фиксированных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авансовых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платежей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далее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Уведомление</w:t>
      </w:r>
      <w:r w:rsidRPr="008D701F">
        <w:rPr>
          <w:rFonts w:ascii="Adobe Garamond Pro" w:hAnsi="Adobe Garamond Pro"/>
        </w:rPr>
        <w:t xml:space="preserve">),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сообщает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следующее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Порядок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исчисления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налоговыми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агентами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общей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НДФЛ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доходов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налогоплательщиков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иностранных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граждан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осуществляющих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трудовую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деятельность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найму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организациях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установлен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пунктом</w:t>
      </w:r>
      <w:r w:rsidRPr="008D701F">
        <w:rPr>
          <w:rFonts w:ascii="Adobe Garamond Pro" w:hAnsi="Adobe Garamond Pro"/>
        </w:rPr>
        <w:t xml:space="preserve"> 6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227.1 </w:t>
      </w:r>
      <w:r w:rsidRPr="008D701F">
        <w:rPr>
          <w:rFonts w:ascii="Cambria" w:hAnsi="Cambria" w:cs="Cambria"/>
        </w:rPr>
        <w:t>Налогового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далее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Кодекс</w:t>
      </w:r>
      <w:r w:rsidRPr="008D701F">
        <w:rPr>
          <w:rFonts w:ascii="Adobe Garamond Pro" w:hAnsi="Adobe Garamond Pro"/>
        </w:rPr>
        <w:t>).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Согласно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постановлению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Правительства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от</w:t>
      </w:r>
      <w:r w:rsidRPr="008D701F">
        <w:rPr>
          <w:rFonts w:ascii="Adobe Garamond Pro" w:hAnsi="Adobe Garamond Pro"/>
        </w:rPr>
        <w:t xml:space="preserve"> 30.06.2004 N 329 "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Министерстве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финансов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proofErr w:type="gramStart"/>
      <w:r w:rsidRPr="008D701F">
        <w:rPr>
          <w:rFonts w:ascii="Adobe Garamond Pro" w:hAnsi="Adobe Garamond Pro"/>
        </w:rPr>
        <w:t>"</w:t>
      </w:r>
      <w:proofErr w:type="gramEnd"/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федеральным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исполнительной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власти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осуществляющим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функции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выработке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государственной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политики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нормативно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правовому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регулированию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сферах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бюджетной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деятельности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является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Министерство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финансов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При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этом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основании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подпункта</w:t>
      </w:r>
      <w:r w:rsidRPr="008D701F">
        <w:rPr>
          <w:rFonts w:ascii="Adobe Garamond Pro" w:hAnsi="Adobe Garamond Pro"/>
        </w:rPr>
        <w:t xml:space="preserve"> 5 </w:t>
      </w:r>
      <w:r w:rsidRPr="008D701F">
        <w:rPr>
          <w:rFonts w:ascii="Cambria" w:hAnsi="Cambria" w:cs="Cambria"/>
        </w:rPr>
        <w:t>пункта</w:t>
      </w:r>
      <w:r w:rsidRPr="008D701F">
        <w:rPr>
          <w:rFonts w:ascii="Adobe Garamond Pro" w:hAnsi="Adobe Garamond Pro"/>
        </w:rPr>
        <w:t xml:space="preserve"> 1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32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налоговые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обязаны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руководствоваться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письменными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разъяснениями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Министерства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финансов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вопросам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применения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законодательства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налогах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сборах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целях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выработки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единой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позиции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рассматриваемому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вопросу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Федеральной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службой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письмом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от</w:t>
      </w:r>
      <w:r w:rsidRPr="008D701F">
        <w:rPr>
          <w:rFonts w:ascii="Adobe Garamond Pro" w:hAnsi="Adobe Garamond Pro"/>
        </w:rPr>
        <w:t xml:space="preserve"> 23.01.2019 N </w:t>
      </w:r>
      <w:r w:rsidRPr="008D701F">
        <w:rPr>
          <w:rFonts w:ascii="Cambria" w:hAnsi="Cambria" w:cs="Cambria"/>
        </w:rPr>
        <w:t>БС</w:t>
      </w:r>
      <w:r w:rsidRPr="008D701F">
        <w:rPr>
          <w:rFonts w:ascii="Adobe Garamond Pro" w:hAnsi="Adobe Garamond Pro"/>
        </w:rPr>
        <w:t xml:space="preserve">-4-11/979@ </w:t>
      </w:r>
      <w:r w:rsidRPr="008D701F">
        <w:rPr>
          <w:rFonts w:ascii="Cambria" w:hAnsi="Cambria" w:cs="Cambria"/>
        </w:rPr>
        <w:t>направлен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запрос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Министерство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финансов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нем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частности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отмечено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что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соответствии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пунктом</w:t>
      </w:r>
      <w:r w:rsidRPr="008D701F">
        <w:rPr>
          <w:rFonts w:ascii="Adobe Garamond Pro" w:hAnsi="Adobe Garamond Pro"/>
        </w:rPr>
        <w:t xml:space="preserve"> 4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57 </w:t>
      </w:r>
      <w:r w:rsidRPr="008D701F">
        <w:rPr>
          <w:rFonts w:ascii="Cambria" w:hAnsi="Cambria" w:cs="Cambria"/>
        </w:rPr>
        <w:t>Гражданского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далее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ГК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РФ</w:t>
      </w:r>
      <w:r w:rsidRPr="008D701F">
        <w:rPr>
          <w:rFonts w:ascii="Adobe Garamond Pro" w:hAnsi="Adobe Garamond Pro"/>
        </w:rPr>
        <w:t xml:space="preserve">) </w:t>
      </w:r>
      <w:r w:rsidRPr="008D701F">
        <w:rPr>
          <w:rFonts w:ascii="Cambria" w:hAnsi="Cambria" w:cs="Cambria"/>
        </w:rPr>
        <w:t>при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форме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присоединения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нему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другого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первое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из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считается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реорганизованным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момента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внесения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единый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государственный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реестр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записи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прекращении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деятельности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присоединенного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Таким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образом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Уведомление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выданное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реорганизованной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присоединенной</w:t>
      </w:r>
      <w:r w:rsidRPr="008D701F">
        <w:rPr>
          <w:rFonts w:ascii="Adobe Garamond Pro" w:hAnsi="Adobe Garamond Pro"/>
        </w:rPr>
        <w:t xml:space="preserve">) </w:t>
      </w:r>
      <w:r w:rsidRPr="008D701F">
        <w:rPr>
          <w:rFonts w:ascii="Cambria" w:hAnsi="Cambria" w:cs="Cambria"/>
        </w:rPr>
        <w:t>организации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фактически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переставшей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существовать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момента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внесения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единый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государственный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реестр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записи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прекращении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деятельности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присоединенного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является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действительным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соответственно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уменьшение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исчисленных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НДФЛ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уплаченных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авансовых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платежей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организацией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правопреемником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основании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такого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Уведомления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недопустимо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При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этом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согласно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пункту</w:t>
      </w:r>
      <w:r w:rsidRPr="008D701F">
        <w:rPr>
          <w:rFonts w:ascii="Adobe Garamond Pro" w:hAnsi="Adobe Garamond Pro"/>
        </w:rPr>
        <w:t xml:space="preserve"> 2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58 </w:t>
      </w:r>
      <w:r w:rsidRPr="008D701F">
        <w:rPr>
          <w:rFonts w:ascii="Cambria" w:hAnsi="Cambria" w:cs="Cambria"/>
        </w:rPr>
        <w:t>ГК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РФ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присоединении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другому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последнему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переходят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права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обязанности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присоединенного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юридического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лица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Кроме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того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согласно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статье</w:t>
      </w:r>
      <w:r w:rsidRPr="008D701F">
        <w:rPr>
          <w:rFonts w:ascii="Adobe Garamond Pro" w:hAnsi="Adobe Garamond Pro"/>
        </w:rPr>
        <w:t xml:space="preserve"> 75 </w:t>
      </w:r>
      <w:r w:rsidRPr="008D701F">
        <w:rPr>
          <w:rFonts w:ascii="Cambria" w:hAnsi="Cambria" w:cs="Cambria"/>
        </w:rPr>
        <w:t>Трудового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реорганизация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слияние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присоединение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разделение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выделение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преобразование</w:t>
      </w:r>
      <w:r w:rsidRPr="008D701F">
        <w:rPr>
          <w:rFonts w:ascii="Adobe Garamond Pro" w:hAnsi="Adobe Garamond Pro"/>
        </w:rPr>
        <w:t xml:space="preserve">) </w:t>
      </w:r>
      <w:r w:rsidRPr="008D701F">
        <w:rPr>
          <w:rFonts w:ascii="Cambria" w:hAnsi="Cambria" w:cs="Cambria"/>
        </w:rPr>
        <w:t>организации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может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являться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основанием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для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расторжения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трудовых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договоров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работниками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организации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lastRenderedPageBreak/>
        <w:t>Следовательно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учетом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указанных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норм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гражданского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трудового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законодательства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целях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применения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положений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227.1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организация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правопреемник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реорганизованная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являются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одним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налоговым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агентом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Таким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образом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целях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равенства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положения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иностранных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работников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работодатели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которых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были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реорганизованы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организации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правопреемнику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можно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обращаться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за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получением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Уведомления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приложением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соответствующих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пояснений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основании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которого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организация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правопреемник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продолжит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производить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уменьшение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исчисленной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НДФЛ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уплаченную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сумму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фиксированных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авансовых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платежей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соответствующем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налоговом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периоде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  <w:bookmarkStart w:id="0" w:name="_GoBack"/>
      <w:bookmarkEnd w:id="0"/>
      <w:r w:rsidRPr="008D701F">
        <w:rPr>
          <w:rFonts w:ascii="Cambria" w:hAnsi="Cambria" w:cs="Cambria"/>
        </w:rPr>
        <w:t>При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этом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для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инициирования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процедуры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получения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организацией</w:t>
      </w:r>
      <w:r w:rsidRPr="008D701F">
        <w:rPr>
          <w:rFonts w:ascii="Adobe Garamond Pro" w:hAnsi="Adobe Garamond Pro"/>
        </w:rPr>
        <w:t xml:space="preserve"> - </w:t>
      </w:r>
      <w:r w:rsidRPr="008D701F">
        <w:rPr>
          <w:rFonts w:ascii="Cambria" w:hAnsi="Cambria" w:cs="Cambria"/>
        </w:rPr>
        <w:t>правопреемником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повторного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Уведомления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иностранному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гражданину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следует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обратиться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работодателю</w:t>
      </w:r>
      <w:r w:rsidRPr="008D701F">
        <w:rPr>
          <w:rFonts w:ascii="Adobe Garamond Pro" w:hAnsi="Adobe Garamond Pro"/>
        </w:rPr>
        <w:t xml:space="preserve"> (</w:t>
      </w:r>
      <w:r w:rsidRPr="008D701F">
        <w:rPr>
          <w:rFonts w:ascii="Cambria" w:hAnsi="Cambria" w:cs="Cambria"/>
        </w:rPr>
        <w:t>организации</w:t>
      </w:r>
      <w:r w:rsidRPr="008D701F">
        <w:rPr>
          <w:rFonts w:ascii="Adobe Garamond Pro" w:hAnsi="Adobe Garamond Pro"/>
        </w:rPr>
        <w:t>-</w:t>
      </w:r>
      <w:r w:rsidRPr="008D701F">
        <w:rPr>
          <w:rFonts w:ascii="Cambria" w:hAnsi="Cambria" w:cs="Cambria"/>
        </w:rPr>
        <w:t>правопреемнику</w:t>
      </w:r>
      <w:r w:rsidRPr="008D701F">
        <w:rPr>
          <w:rFonts w:ascii="Adobe Garamond Pro" w:hAnsi="Adobe Garamond Pro"/>
        </w:rPr>
        <w:t xml:space="preserve">) </w:t>
      </w:r>
      <w:r w:rsidRPr="008D701F">
        <w:rPr>
          <w:rFonts w:ascii="Cambria" w:hAnsi="Cambria" w:cs="Cambria"/>
        </w:rPr>
        <w:t>в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порядке</w:t>
      </w:r>
      <w:r w:rsidRPr="008D701F">
        <w:rPr>
          <w:rFonts w:ascii="Adobe Garamond Pro" w:hAnsi="Adobe Garamond Pro"/>
        </w:rPr>
        <w:t xml:space="preserve">, </w:t>
      </w:r>
      <w:r w:rsidRPr="008D701F">
        <w:rPr>
          <w:rFonts w:ascii="Cambria" w:hAnsi="Cambria" w:cs="Cambria"/>
        </w:rPr>
        <w:t>установленном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абзацем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третьим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пункта</w:t>
      </w:r>
      <w:r w:rsidRPr="008D701F">
        <w:rPr>
          <w:rFonts w:ascii="Adobe Garamond Pro" w:hAnsi="Adobe Garamond Pro"/>
        </w:rPr>
        <w:t xml:space="preserve"> 6 </w:t>
      </w:r>
      <w:r w:rsidRPr="008D701F">
        <w:rPr>
          <w:rFonts w:ascii="Cambria" w:hAnsi="Cambria" w:cs="Cambria"/>
        </w:rPr>
        <w:t>статьи</w:t>
      </w:r>
      <w:r w:rsidRPr="008D701F">
        <w:rPr>
          <w:rFonts w:ascii="Adobe Garamond Pro" w:hAnsi="Adobe Garamond Pro"/>
        </w:rPr>
        <w:t xml:space="preserve"> 227.1 </w:t>
      </w:r>
      <w:r w:rsidRPr="008D701F">
        <w:rPr>
          <w:rFonts w:ascii="Cambria" w:hAnsi="Cambria" w:cs="Cambria"/>
        </w:rPr>
        <w:t>Кодекса</w:t>
      </w:r>
      <w:r w:rsidRPr="008D701F">
        <w:rPr>
          <w:rFonts w:ascii="Adobe Garamond Pro" w:hAnsi="Adobe Garamond Pro"/>
        </w:rPr>
        <w:t>.</w:t>
      </w:r>
    </w:p>
    <w:p w:rsidR="008D701F" w:rsidRPr="008D701F" w:rsidRDefault="008D701F" w:rsidP="008D701F">
      <w:pPr>
        <w:rPr>
          <w:rFonts w:ascii="Adobe Garamond Pro" w:hAnsi="Adobe Garamond Pro"/>
        </w:rPr>
      </w:pP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Минфин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согласовал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указанную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позицию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ФНС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России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письмом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от</w:t>
      </w:r>
      <w:r w:rsidRPr="008D701F">
        <w:rPr>
          <w:rFonts w:ascii="Adobe Garamond Pro" w:hAnsi="Adobe Garamond Pro"/>
        </w:rPr>
        <w:t xml:space="preserve"> 23.11.2020 N 03-04-07/101755@.</w:t>
      </w:r>
    </w:p>
    <w:p w:rsidR="008D701F" w:rsidRPr="008D701F" w:rsidRDefault="008D701F" w:rsidP="008D701F">
      <w:pPr>
        <w:rPr>
          <w:rFonts w:ascii="Adobe Garamond Pro" w:hAnsi="Adobe Garamond Pro"/>
        </w:rPr>
      </w:pP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Действительный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государственный</w:t>
      </w:r>
    </w:p>
    <w:p w:rsidR="008D701F" w:rsidRPr="008D701F" w:rsidRDefault="008D701F" w:rsidP="008D701F">
      <w:pPr>
        <w:rPr>
          <w:rFonts w:ascii="Adobe Garamond Pro" w:hAnsi="Adobe Garamond Pro"/>
        </w:rPr>
      </w:pPr>
      <w:r w:rsidRPr="008D701F">
        <w:rPr>
          <w:rFonts w:ascii="Cambria" w:hAnsi="Cambria" w:cs="Cambria"/>
        </w:rPr>
        <w:t>советник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Российской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Cambria" w:hAnsi="Cambria" w:cs="Cambria"/>
        </w:rPr>
        <w:t>Федерации</w:t>
      </w:r>
      <w:r w:rsidRPr="008D701F">
        <w:rPr>
          <w:rFonts w:ascii="Adobe Garamond Pro" w:hAnsi="Adobe Garamond Pro"/>
        </w:rPr>
        <w:t xml:space="preserve"> 2 </w:t>
      </w:r>
      <w:r w:rsidRPr="008D701F">
        <w:rPr>
          <w:rFonts w:ascii="Cambria" w:hAnsi="Cambria" w:cs="Cambria"/>
        </w:rPr>
        <w:t>класса</w:t>
      </w:r>
      <w:r w:rsidRPr="008D701F">
        <w:rPr>
          <w:rFonts w:ascii="Adobe Garamond Pro" w:hAnsi="Adobe Garamond Pro"/>
        </w:rPr>
        <w:t xml:space="preserve"> </w:t>
      </w:r>
      <w:r w:rsidRPr="008D701F">
        <w:rPr>
          <w:rFonts w:ascii="Adobe Garamond Pro" w:hAnsi="Adobe Garamond Pro"/>
        </w:rPr>
        <w:tab/>
      </w:r>
      <w:r w:rsidRPr="008D701F">
        <w:rPr>
          <w:rFonts w:ascii="Cambria" w:hAnsi="Cambria" w:cs="Cambria"/>
        </w:rPr>
        <w:t>С</w:t>
      </w:r>
      <w:r w:rsidRPr="008D701F">
        <w:rPr>
          <w:rFonts w:ascii="Adobe Garamond Pro" w:hAnsi="Adobe Garamond Pro"/>
        </w:rPr>
        <w:t>.</w:t>
      </w:r>
      <w:r w:rsidRPr="008D701F">
        <w:rPr>
          <w:rFonts w:ascii="Cambria" w:hAnsi="Cambria" w:cs="Cambria"/>
        </w:rPr>
        <w:t>Л</w:t>
      </w:r>
      <w:r w:rsidRPr="008D701F">
        <w:rPr>
          <w:rFonts w:ascii="Adobe Garamond Pro" w:hAnsi="Adobe Garamond Pro"/>
        </w:rPr>
        <w:t xml:space="preserve">. </w:t>
      </w:r>
      <w:r w:rsidRPr="008D701F">
        <w:rPr>
          <w:rFonts w:ascii="Cambria" w:hAnsi="Cambria" w:cs="Cambria"/>
        </w:rPr>
        <w:t>Бондарчук</w:t>
      </w:r>
    </w:p>
    <w:p w:rsidR="008D701F" w:rsidRDefault="008D701F" w:rsidP="008D701F"/>
    <w:p w:rsidR="008D701F" w:rsidRDefault="008D701F" w:rsidP="008D701F"/>
    <w:sectPr w:rsidR="008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A"/>
    <w:rsid w:val="001A54AA"/>
    <w:rsid w:val="008D701F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A103-3505-498E-9AE9-8F60B35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2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2021-02-02T10:50:00Z</dcterms:created>
  <dcterms:modified xsi:type="dcterms:W3CDTF">2021-02-02T10:51:00Z</dcterms:modified>
</cp:coreProperties>
</file>