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17" w:rsidRPr="008E5B30" w:rsidRDefault="00B97417" w:rsidP="00B97417">
      <w:pPr>
        <w:rPr>
          <w:rFonts w:ascii="Times New Roman" w:hAnsi="Times New Roman" w:cs="Times New Roman"/>
          <w:b/>
          <w:sz w:val="24"/>
          <w:szCs w:val="24"/>
        </w:rPr>
      </w:pPr>
      <w:r w:rsidRPr="008E5B30">
        <w:rPr>
          <w:rFonts w:ascii="Times New Roman" w:hAnsi="Times New Roman" w:cs="Times New Roman"/>
          <w:b/>
          <w:sz w:val="24"/>
          <w:szCs w:val="24"/>
        </w:rPr>
        <w:t>Письмо Минтруд</w:t>
      </w:r>
      <w:r w:rsidR="008E5B30" w:rsidRPr="008E5B30">
        <w:rPr>
          <w:rFonts w:ascii="Times New Roman" w:hAnsi="Times New Roman" w:cs="Times New Roman"/>
          <w:b/>
          <w:sz w:val="24"/>
          <w:szCs w:val="24"/>
        </w:rPr>
        <w:t>а от 24.05.2018 № 14-1/ООГ-4375</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Департамент оплаты труда, трудовых отношений и социального партнерства Министерства труда и социальной защиты Российской Федерации рассмотрел обращ</w:t>
      </w:r>
      <w:r>
        <w:rPr>
          <w:rFonts w:ascii="Times New Roman" w:hAnsi="Times New Roman" w:cs="Times New Roman"/>
          <w:sz w:val="24"/>
          <w:szCs w:val="24"/>
        </w:rPr>
        <w:t>ение и по компетенции сообщает.</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В соответствии с Положением о Министерстве труда и социальной защиты Российской Федерации, утвержденным Постановлением Правительства Российской Федерации от 19 июня 2012 г. №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B97417" w:rsidRPr="00B97417" w:rsidRDefault="00B97417" w:rsidP="00B97417">
      <w:pPr>
        <w:rPr>
          <w:rFonts w:ascii="Times New Roman" w:hAnsi="Times New Roman" w:cs="Times New Roman"/>
          <w:sz w:val="24"/>
          <w:szCs w:val="24"/>
        </w:rPr>
      </w:pP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Мнение Минтруда России по вопросам, содержащимся в обращении, не является разъяснением и нормативным правовым актом.</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 xml:space="preserve">1. В соответствии с абзацем 5 части 2 статьи 57 Трудового кодекса Российской Федерации (далее – ТК РФ) обязательными для включения в трудовой договор являются условия оплаты труда (в том числе размер тарифной ставки или оклада (должностного оклада) работника, доплаты, надбавки и поощрительные выплаты). Согласно абзацу 5 части 1 статьи 21 ТК РФ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Абзац 7 части 2 статьи 22 ТК РФ предусматривает, что работодатель обязан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В соответствии с действующей частью шестой статьи 136 ТК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w:t>
      </w:r>
      <w:proofErr w:type="gramStart"/>
      <w:r w:rsidRPr="00B97417">
        <w:rPr>
          <w:rFonts w:ascii="Times New Roman" w:hAnsi="Times New Roman" w:cs="Times New Roman"/>
          <w:sz w:val="24"/>
          <w:szCs w:val="24"/>
        </w:rPr>
        <w:t>Таким образом, ТК РФ не регулирует конкретные сроки выплаты заработной платы (конкретные числа календарного месяца), но при этом устанавливает требования о выплате заработной платы не реже чем каждые полмесяца, а также о максимально допустимом промежутке времени после окончания отработанного периода, в который должна быть выплачена часть заработной платы за этот период.</w:t>
      </w:r>
      <w:proofErr w:type="gramEnd"/>
    </w:p>
    <w:p w:rsidR="00B97417" w:rsidRPr="00B97417" w:rsidRDefault="00B97417" w:rsidP="00B97417">
      <w:pPr>
        <w:rPr>
          <w:rFonts w:ascii="Times New Roman" w:hAnsi="Times New Roman" w:cs="Times New Roman"/>
          <w:sz w:val="24"/>
          <w:szCs w:val="24"/>
        </w:rPr>
      </w:pP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2. В соответствии со статьей 135 ТК РФ заработная плата работнику устанавливается трудовым договором в соответствии с действующими у данного работодателя системами оплаты труда. В соответствии со статьей 136 ТК РФ при выплате заработной платы работодатель обязан извещать в письменной форме каждого работника:</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1) о составных частях заработной платы, причитающейся ему за соответствующий период;</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lastRenderedPageBreak/>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3) о размерах и об основаниях произведенных удержаний;</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4) об общей денежной сумме, подлежащей выплате.</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Целью выдачи расчетного листка является необходимость проинформировать работника, из чего складывается его очередная заработная плата. При этом в соответствии с частью 2 статьи 136 ТК РФ форма расчетного листка утверждается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Таким образом, работодатель обязан извещать работника о составных частях заработной платы при выплате заработной платы, в соответствии с формой, утвержденной работодателем. При этом ТК РФ не регламентирует порядок извещения работника о составных частях заработной платы (расчетный листок).</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Считаем необходимым отметить, что общепринятой практикой при применении систем оплаты труда, в которых работникам устанавливаются оклады или месячные тарифные ставки, является выдача расчетных листов с указанием начисленной месячной заработной платы.</w:t>
      </w:r>
    </w:p>
    <w:p w:rsidR="00B97417" w:rsidRPr="00B97417" w:rsidRDefault="00B97417" w:rsidP="00B97417">
      <w:pPr>
        <w:rPr>
          <w:rFonts w:ascii="Times New Roman" w:hAnsi="Times New Roman" w:cs="Times New Roman"/>
          <w:sz w:val="24"/>
          <w:szCs w:val="24"/>
        </w:rPr>
      </w:pP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3. Согласно статье 72.2 ТК РФ под простоем следует понимать временную приостановку работы по причинам экономического, технологического, технического или организационного характера. Простой может затрагивать как одного работника, группу работников, так и всех работников структурного подразделения или организации.</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Следует отметить, что если ремонт носит плановый характер, то время его проведения можно отнести к простою по вине работодателя. Если в организации сложилась аварийная ситуация, то простой можно квалифицировать как не зависящий от сторон. Если ремонт в организации производится в связи с нарушениями со стороны работника, то время его проведения является простоем по вине работника.</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Оплата времени простоя зависит от того, по чьей вине произошел простой. Согласно части 1 статьи 157 ТК РФ время простоя по вине работодателя оплачивается в размере не менее двух третей средней заработной платы работника.</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Простой по обстоятельствам, не зависящим от сторон, оплачивается в размере двух третей тарифной ставки, оклада (должностного оклада), рассчитанных пропорционально времени простоя (часть 2 статьи 157 ТК РФ).</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 xml:space="preserve">Необходимо отметить, что временную приостановку работы можно считать простоем, когда работодателем принято соответствующее решение, закрепленное в локальном акте организации, содержащем информацию о причинах экономического, технологического, технического или организационного характера для приостановления работы, а также о </w:t>
      </w:r>
      <w:r w:rsidRPr="00B97417">
        <w:rPr>
          <w:rFonts w:ascii="Times New Roman" w:hAnsi="Times New Roman" w:cs="Times New Roman"/>
          <w:sz w:val="24"/>
          <w:szCs w:val="24"/>
        </w:rPr>
        <w:lastRenderedPageBreak/>
        <w:t>том, что в указанный период будут производиться выплаты в соответствии со статьи 157 ТК РФ.</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Оплата за простой производится в дни выплаты заработной платы, установленные в организации.</w:t>
      </w:r>
    </w:p>
    <w:p w:rsidR="00B97417" w:rsidRPr="00B97417" w:rsidRDefault="00B97417" w:rsidP="00B97417">
      <w:pPr>
        <w:rPr>
          <w:rFonts w:ascii="Times New Roman" w:hAnsi="Times New Roman" w:cs="Times New Roman"/>
          <w:sz w:val="24"/>
          <w:szCs w:val="24"/>
        </w:rPr>
      </w:pP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Заместитель директора</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Департамента оплаты труда,</w:t>
      </w:r>
    </w:p>
    <w:p w:rsidR="00B97417"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трудовых отношений и социального партнерства</w:t>
      </w:r>
    </w:p>
    <w:p w:rsidR="00F31DC6" w:rsidRPr="00B97417" w:rsidRDefault="00B97417" w:rsidP="00B97417">
      <w:pPr>
        <w:rPr>
          <w:rFonts w:ascii="Times New Roman" w:hAnsi="Times New Roman" w:cs="Times New Roman"/>
          <w:sz w:val="24"/>
          <w:szCs w:val="24"/>
        </w:rPr>
      </w:pPr>
      <w:r w:rsidRPr="00B97417">
        <w:rPr>
          <w:rFonts w:ascii="Times New Roman" w:hAnsi="Times New Roman" w:cs="Times New Roman"/>
          <w:sz w:val="24"/>
          <w:szCs w:val="24"/>
        </w:rPr>
        <w:t>Т. В. Маленко</w:t>
      </w:r>
    </w:p>
    <w:sectPr w:rsidR="00F31DC6" w:rsidRPr="00B97417" w:rsidSect="00F31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97417"/>
    <w:rsid w:val="008E5B30"/>
    <w:rsid w:val="00B97417"/>
    <w:rsid w:val="00F31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8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2022-03-21T12:59:00Z</dcterms:created>
  <dcterms:modified xsi:type="dcterms:W3CDTF">2022-03-21T13:01:00Z</dcterms:modified>
</cp:coreProperties>
</file>